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2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ind w:left="23" w:firstLine="689"/>
        <w:jc w:val="center"/>
        <w:spacing w:after="0"/>
        <w:widowControl w:val="off"/>
      </w:pPr>
      <w:r>
        <w:rPr>
          <w:rFonts w:ascii="Times New Roman" w:hAnsi="Times New Roman"/>
          <w:b/>
          <w:color w:val="000000"/>
          <w:sz w:val="26"/>
          <w:szCs w:val="26"/>
          <w:highlight w:val="none"/>
        </w:rPr>
      </w:r>
      <w:r>
        <w:rPr>
          <w:rFonts w:ascii="Times New Roman" w:hAnsi="Times New Roman"/>
          <w:b/>
          <w:color w:val="000000"/>
          <w:sz w:val="26"/>
          <w:szCs w:val="26"/>
          <w:highlight w:val="none"/>
        </w:rPr>
      </w:r>
      <w:r/>
    </w:p>
    <w:p>
      <w:pPr>
        <w:ind w:left="23" w:firstLine="689"/>
        <w:jc w:val="center"/>
        <w:spacing w:after="0"/>
        <w:widowControl w:val="off"/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ИНСТРУКЦИЯ</w:t>
      </w:r>
      <w:r/>
    </w:p>
    <w:p>
      <w:pPr>
        <w:ind w:left="23" w:firstLine="689"/>
        <w:jc w:val="center"/>
        <w:spacing w:after="0"/>
        <w:widowControl w:val="off"/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МЕРАХ ПОЖАРНОЙ БЕЗОПАСНОСТИ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ЭКСПЛУАТАЦИИ ЭЛЕКТРООБОРУДОВАНИЯ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Инструкция составлена в соответствии с “Правилами технической эксплуатации электроустановок потребителей”, утв.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Приказом Минэнерго России от 13.01.2003 N 6</w:t>
      </w:r>
      <w:r>
        <w:rPr>
          <w:rFonts w:ascii="Times New Roman" w:hAnsi="Times New Roman" w:cs="Times New Roman"/>
          <w:sz w:val="26"/>
          <w:szCs w:val="26"/>
        </w:rPr>
        <w:t xml:space="preserve">; «Правилами по охране труда при эксплуатации электроустановок», утв. Приказом Минтруда России от 24.07.2013 N 328н;  ФЗ от 22.07.2008 N 123-ФЗ (ред. от 29.07.2017) "Технический  регламент о требованиях пожарной безопасности".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6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0" w:name="_adapg3u0qqrp"/>
      <w:r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1. ОБЩИЕ ТРЕБОВАНИЯ</w:t>
      </w:r>
      <w:bookmarkStart w:id="1" w:name="_GoBack"/>
      <w:r/>
      <w:bookmarkEnd w:id="1"/>
      <w:r/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1.1.Инструкция устанавливает общие требования пожарной безопасности при эксплуатации электроустановок на территории и в зданиях организации и является обязательной для исполнения всеми работающими (в том числе подрядными организациями).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Лица, виновные в нарушении требований пожарной безопасности, несут ответственность в соответствии с действующим законодательством Российской Федерации.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Ответственный за пожарную безопасность назначается приказом руководителя организации.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Все работники должны допускаться к работе: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прохождения противопожарного инструктажа;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успешного прохождения  аттестации по профессиональным знаниям.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 За состоянием электроустановок следит лицо, назначенное приказом руководителя предприятия.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Оно обязано: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своевременное проведение профилактических осмотров и планово-предупредительных ремонтов электрооборудования;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следить за правильностью выбора и применения кабелей, электропроводов, светильников в зависимости от окружающей среды;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систематически контролировать состояние аппаратов защиты от коротких замыканий;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следить за исправностью установок и средств, предназначенных для ликвидации возгораний и пожаров в электроустановках и кабельных помещениях;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систему обучения и инструктажа дежурного персонала.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Дежурный электрик (сменный) обязан ежемесячно проводить плановые профилактические осмотры </w:t>
      </w:r>
      <w:r>
        <w:rPr>
          <w:rFonts w:ascii="Times New Roman" w:hAnsi="Times New Roman" w:cs="Times New Roman"/>
          <w:sz w:val="26"/>
          <w:szCs w:val="26"/>
        </w:rPr>
        <w:t xml:space="preserve">электрооборудования, проверять наличие и исправность аппаратов защиты и принимать немедленно меры к устранению нарушений, могущих привести к возгораниям. Результаты осмотров электроустановок, обнаруженные неисправности и принятые меры записывают в журнале.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61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/>
    </w:p>
    <w:p>
      <w:pPr>
        <w:pStyle w:val="761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/>
      <w:bookmarkStart w:id="2" w:name="_ihv1vzo68ybg"/>
      <w:r/>
      <w:bookmarkEnd w:id="2"/>
      <w:r>
        <w:rPr>
          <w:rFonts w:ascii="Times New Roman" w:hAnsi="Times New Roman" w:cs="Times New Roman"/>
          <w:b/>
          <w:sz w:val="26"/>
          <w:szCs w:val="26"/>
        </w:rPr>
        <w:t xml:space="preserve">2. ТРЕБОВАНИЯ ПОЖАРНОЙ БЕЗОПАСНОСТИ ПРИ ЭКСПЛУАТАЦИИ ЭЛЕКТРОУСТАНОВОК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Проектирование, монтаж, эксплуатацию электрических сетей, электроустановок и электротехнических изделий, а также контроль за их техническим состоянием необходимо осуществлять в соответствии с требованиями нормативных документов по электроэнергетике.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 Электротехнический персонал должен проходить периодическую проверку знаний ППБ одновременно с проверкой знаний норм и правил работы в электроустановках.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 Плановый ремонт и профилактический осмотр оборудования должны проводиться в установленные сроки и при выполнении мер пожарной безопасности, предусмотренных соответствующей технической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документацией по эксплуатации.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 В места</w:t>
      </w:r>
      <w:r>
        <w:rPr>
          <w:rFonts w:ascii="Times New Roman" w:hAnsi="Times New Roman" w:cs="Times New Roman"/>
          <w:sz w:val="26"/>
          <w:szCs w:val="26"/>
        </w:rPr>
        <w:t xml:space="preserve">х пересечения противопожарных стен, перекрытий и ограждающих конструкций силовыми кабельными линиями образовавшиеся отверстия и зазоры должны быть заделаны строительными материалами, обеспечивающими требуемый предел огнестойкости и дымогазонепроницаемость.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 В местах прохода проводов и кабелей</w:t>
      </w:r>
      <w:r>
        <w:rPr>
          <w:rFonts w:ascii="Times New Roman" w:hAnsi="Times New Roman" w:cs="Times New Roman"/>
          <w:sz w:val="26"/>
          <w:szCs w:val="26"/>
        </w:rPr>
        <w:t xml:space="preserve"> че</w:t>
      </w:r>
      <w:r>
        <w:rPr>
          <w:rFonts w:ascii="Times New Roman" w:hAnsi="Times New Roman" w:cs="Times New Roman"/>
          <w:sz w:val="26"/>
          <w:szCs w:val="26"/>
        </w:rPr>
        <w:t xml:space="preserve">рез стены, междуэтажные перекрытия или выхода их наружу необходимо обеспечивать возможность замены электропроводок. Для этого проход должен быть выполнен в трубе, коробе, проеме и т.п. ) с целью предотвращения распространения пожара в местах прохода через </w:t>
      </w:r>
      <w:r>
        <w:rPr>
          <w:rFonts w:ascii="Times New Roman" w:hAnsi="Times New Roman" w:cs="Times New Roman"/>
          <w:sz w:val="26"/>
          <w:szCs w:val="26"/>
        </w:rPr>
        <w:t xml:space="preserve">стены, перекрытия или выхода наружу следует заделывать зазоры между проводами, кабелями и трубой (коробом, проемом и т.п.), а также резервные </w:t>
      </w:r>
      <w:r>
        <w:rPr>
          <w:rFonts w:ascii="Times New Roman" w:hAnsi="Times New Roman" w:cs="Times New Roman"/>
          <w:sz w:val="26"/>
          <w:szCs w:val="26"/>
        </w:rPr>
        <w:t xml:space="preserve">трубы (короба, проемы и т.п.) легко удаляемой массой из несгораемого материала. Заделка должна допускать замену, дополнительную прокладку новых проводов и кабелей и обеспечивать предел огнестойкости проема не менее предела огнестойкости стены (перекрытия).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 Прокладка проводов и кабелей, труб и коробов с проводами и кабелями по условиям пожарной безопасности должна удовлетворять требованиям ПУЭ.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 В металлических коробах кабельные линии должны уплотняться негорючими материалами и разделяться перегородками огнестойкостью не менее 0,75 часа в следующих случаях: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входе в кабельные сооружения;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горизонтальных участках кабельных коробов через каждые 30 метров, а также при ответвлениях в другие короба основных потоков кабелей;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вертикальных участках кабельных коробов через каждые 20 метров.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прохождении через перекрытия такие же огнестойкие уплотнения дополнительно должны выполняться на каждой отметке перекрытия.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Места уплотнения кабельных линий, проложенных в металлических коробах, следует обозначать красными полосами на наружных стенках коробов.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 Металлические оболочки кабелей и металлические поверхности, по которым они прокладываются, должны быть защищены негорючими антикоррозийными покрытиями.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.9 При открытой прокладке защищенных проводов (кабелей) с оболочками из сгораемых материалов и незащищенных проводов расстояние в свету от провода (кабеля) до поверхности оснований конструкций, деталей сгораемых материалов должно составлять не менее 10 мм.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невозможности обеспечить указанное расстояние провод (кабель) следует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отделять от поверхности слоем несгораемого материала, выступающим и каждой стороны провода (кабеля) не менее чем на 10 мм.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 Вводно-распределительные устройства (ВУ, ВРУ, ГРЩ) должны устанавливаться в помещениях доступных для обслуживающего персонала и отделены от других помещений перегородками с пределом огнестойкости не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менее 0,75 часа.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Прокладка через эти помещения газопроводов и трубопроводов с горючими жидкостями, канализации и внутренних водостоков не допускается.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2.11 Кабельные каналы и двойные полы в распределительных устройствах и других помещениях должны перекрываться съемными негорючими плитам</w:t>
      </w:r>
      <w:r>
        <w:rPr>
          <w:rFonts w:ascii="Times New Roman" w:hAnsi="Times New Roman" w:cs="Times New Roman"/>
          <w:sz w:val="26"/>
          <w:szCs w:val="26"/>
        </w:rPr>
        <w:t xml:space="preserve">и. В помещениях щитов управления с паркетными полами деревянные щиты снизу должны защищаться асбестом и обиваться жестью или другим огнезащитным материалом. Съемные негорючие плиты и цельные щиты должны иметь приспособления для быстрого подъема их вручную.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 Нагрев, наведенным током конструкций, находящихся вблизи токоведущих частей, по которым протекает ток и доступных для прикосновения персонала, должен быть не выше 50 град. С.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Температура воздуха внутри помещения ТП, ВУ, ВРУ, ГРЩ в летнее время не должна быть более 40 град. С. В случае ее превышения должны быть приняты меры к снижению температуры оборудования.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 Оборудование ТП, ВУ, ВРУ, ГРЩ, силовых и осветительных щитков должно периодически очищаться от пыли и грязи.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 Маслоприемные устройства под трансформаторами должны содержаться в исправном состоянии для исключения при аварии растекания масла и попадания его в кабельные каналы и другие сооружения.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 В пределах бортовых ограждений маслоприемника гравийная засыпка должна содержаться в чистом состоянии и не реже одного раза в год промываться.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загрязнении гравийной засыпки (пылью, песком и т.п.) или замасливании гравия его промывка должна проводиться, как правило, весной и осенью.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образовании на гравийной засыпке твердых отложений от нефтепродуктов толщиной более 3 мм, появлении растительности или невозможности его промывки должна осуществляться замена гравия.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2.16 Через склады и производственные помещения не должны прокладываться транзитные электросети, а также трубопроводы для транспортирования ГГ, ЛВЖ, ГЖ и горючих пылей.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2.17 Искрогасители на коммутационных аппаратах должны содержаться в исправном состоянии.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2.18 Противопожарные устройства</w:t>
      </w:r>
      <w:r>
        <w:rPr>
          <w:rFonts w:ascii="Times New Roman" w:hAnsi="Times New Roman" w:cs="Times New Roman"/>
          <w:sz w:val="26"/>
          <w:szCs w:val="26"/>
        </w:rPr>
        <w:t xml:space="preserve"> и охранная сигнализация, независимо от категории по надежности электроснабжения здания, должны питаться от двух вводов, а при отсутствии двух вводов - двумя линиями от одного ввода. Переключение с одной линии на другую должно осуществляться автоматически.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2.19 Объемные самосветящиеся знаки пожарной безопасности с автономным питанием и от электросети, используемые на путях эвакуации (в том числе световые указатели «Эвакуационный (запасной) выход должны постоянно находиться в исправном и включенном состоянии.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 Помещения электрощитовых, распределительных устройств, должны быть укомплектованы первичными средствами пожаротушения.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6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3" w:name="_9ooydgvhsyk8"/>
      <w:r/>
      <w:bookmarkEnd w:id="3"/>
      <w:r>
        <w:rPr>
          <w:rFonts w:ascii="Times New Roman" w:hAnsi="Times New Roman" w:cs="Times New Roman"/>
          <w:b/>
          <w:sz w:val="26"/>
          <w:szCs w:val="26"/>
        </w:rPr>
        <w:t xml:space="preserve">3</w:t>
      </w:r>
      <w:r>
        <w:rPr>
          <w:rFonts w:ascii="Times New Roman" w:hAnsi="Times New Roman" w:cs="Times New Roman"/>
          <w:b/>
          <w:sz w:val="26"/>
          <w:szCs w:val="26"/>
        </w:rPr>
        <w:t xml:space="preserve">. ПРИ ЭКСПЛУАТАЦИИ ЭЛЕКТРОУСТАНОВОК ЗАПРЕЩАЕТСЯ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эксплуатации действующих электроустановок запрещается: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использовать приемники электрической энергии (электроприемники) в условиях, не соответствующих требованиям инстру</w:t>
      </w:r>
      <w:r>
        <w:rPr>
          <w:rFonts w:ascii="Times New Roman" w:hAnsi="Times New Roman" w:cs="Times New Roman"/>
          <w:sz w:val="26"/>
          <w:szCs w:val="26"/>
        </w:rPr>
        <w:t xml:space="preserve">кций организаций - 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пользоваться поврежденными розетками, рубильниками, другими электроустановочными изделиями;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устраивать в помещениях и коридорах распределительных устройств кладовые, не относящиеся к распределительному устройству, а также хранить электротехническое оборудование, запасные части, емкости с ГЖ и баллоны с различными газами;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прокладывать бронированные кабели внутри помещений без снятия горючего джутового покрова;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применять кабели с горючей полиэтиленовой изоляцией при проведении реконструкции или ремонта;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перегрузок и короткого замыкания;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размещать (складировать) у электрощитов, дверей электрощитовых, у электродвигателей и пусковой аппаратуры посторонние предметы, тем более горючие (в том числе легковоспламеняющиеся) вещества и материалы;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эксплуатировать электронагревательные приборы при отсутствии или неисправности терморегуляторов, предусмотренных конструкцией.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6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4" w:name="_8y974w2c2wz8"/>
      <w:r/>
      <w:bookmarkEnd w:id="4"/>
      <w:r>
        <w:rPr>
          <w:rFonts w:ascii="Times New Roman" w:hAnsi="Times New Roman" w:cs="Times New Roman"/>
          <w:b/>
          <w:sz w:val="26"/>
          <w:szCs w:val="26"/>
        </w:rPr>
        <w:t xml:space="preserve">4</w:t>
      </w:r>
      <w:r>
        <w:rPr>
          <w:rFonts w:ascii="Times New Roman" w:hAnsi="Times New Roman" w:cs="Times New Roman"/>
          <w:b/>
          <w:sz w:val="26"/>
          <w:szCs w:val="26"/>
        </w:rPr>
        <w:t xml:space="preserve">. ПОРЯДОК ДЕЙСТВИЙ ПРИ ПОЖАРЕ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.1 При коротком замыкании в электрических устройствах и их загорании следует: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немедленно отключить их от сети;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сообщить о пожаре в подразделение пожарной охраны по телефону «01» или «112»;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приступить к тушению очага возгорания углекислотным (порошковым) огнетушителем или песком.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принять по возможности меры по эвакуации людей и материальных ценностей в соответствии с планом эвакуации.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.2. Руководитель структурного подразделения должен: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продублировать сообщение о возникновении пожара в пожарную охрану (и поставить в известность вышестоящее руководство);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угрозы жизни людей немедленно организовать их спасение, используя для этого имеющиеся силы и средства; проверить включение в работу </w:t>
      </w:r>
      <w:r>
        <w:rPr>
          <w:rFonts w:ascii="Times New Roman" w:hAnsi="Times New Roman" w:cs="Times New Roman"/>
          <w:sz w:val="26"/>
          <w:szCs w:val="26"/>
        </w:rPr>
        <w:t xml:space="preserve">автоматических систем противопожарной защиты (оповещение людей о пожаре, пожаротушения, противодымной защиты);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 отключить электроэнергию (за исключением систем противопожарной защиты, остановить работу систем вентиляции в аварийном и смежного с ним помещениях, выполнить другие мероприятия, способствующие предотвращению развития пожара и задымления помещений здания;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прекратить все работы в здании, кроме работ, связанных с мероприятиями по ликвидации пожара;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удалить за пределы опасной зоны всех работников, не участвующих в тушении пожара;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осуществлять общее руководство по тушению пожара (с учетом специфических особенностей объекта) до прибытия подразделений пожарной охраны;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соблюдение требований безопасности работниками, принимающими участие в тушении пожара;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с тушением пожара организовать эвакуацию и защиту материальных ценностей;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встречу подразделений пожарной охраны и оказать помощь в выборе кратчайшего пути для подъезда к очагу пожара;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сообщать подразделениям пожарной охраны, привлекаемым для тушения пожара и связанными с ним первоочередными аварийно- спасательными работами, необходимые сведения для обеспечения безопасности личного состава;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прибытии пожарного подразделения п</w:t>
      </w:r>
      <w:r>
        <w:rPr>
          <w:rFonts w:ascii="Times New Roman" w:hAnsi="Times New Roman" w:cs="Times New Roman"/>
          <w:sz w:val="26"/>
          <w:szCs w:val="26"/>
        </w:rPr>
        <w:t xml:space="preserve">роинформировать руководителя тушения пожара о конструктивных и технологических особенностях объекта, прилегающих строений и сооружений, количестве и пожароопасных свойствах материалов, изделий и других сведениях, необходимых для успешной ликвидации пожара;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организовать привлечение сил и средств объекта к осуществлению необходимых мероприятий, связанных с ликвидацией пожара и предотвращением его развития.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6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/>
      <w:bookmarkStart w:id="5" w:name="_o1uf09ve2p5"/>
      <w:r/>
      <w:bookmarkEnd w:id="5"/>
      <w:r>
        <w:rPr>
          <w:rFonts w:ascii="Times New Roman" w:hAnsi="Times New Roman" w:cs="Times New Roman"/>
          <w:b/>
          <w:sz w:val="26"/>
          <w:szCs w:val="26"/>
        </w:rPr>
        <w:t xml:space="preserve">5</w:t>
      </w:r>
      <w:r>
        <w:rPr>
          <w:rFonts w:ascii="Times New Roman" w:hAnsi="Times New Roman" w:cs="Times New Roman"/>
          <w:b/>
          <w:sz w:val="26"/>
          <w:szCs w:val="26"/>
        </w:rPr>
        <w:t xml:space="preserve">. ТРЕБОВАНИЯ БЕЗОПАСНОСТИ ПО ОКОНЧАНИИ РАБОТЫ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.1. По окончании работы следует: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отключить электрические устройства и приборы от источника питания;</w:t>
      </w:r>
      <w:r/>
    </w:p>
    <w:p>
      <w:pPr>
        <w:pStyle w:val="76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привести в порядок рабочее место.</w:t>
      </w:r>
      <w:r/>
    </w:p>
    <w:p>
      <w:pPr>
        <w:pStyle w:val="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6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/>
    </w:p>
    <w:p>
      <w:pPr>
        <w:pStyle w:val="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sz w:val="26"/>
          <w:szCs w:val="26"/>
        </w:rPr>
      </w:r>
      <w:r/>
    </w:p>
    <w:p>
      <w:pPr>
        <w:pStyle w:val="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А.Л. Николаев</w:t>
      </w:r>
      <w:r>
        <w:rPr>
          <w:sz w:val="26"/>
          <w:szCs w:val="26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6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20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2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Title Char"/>
    <w:basedOn w:val="740"/>
    <w:link w:val="762"/>
    <w:uiPriority w:val="10"/>
    <w:rPr>
      <w:sz w:val="48"/>
      <w:szCs w:val="48"/>
    </w:rPr>
  </w:style>
  <w:style w:type="character" w:styleId="733">
    <w:name w:val="Subtitle Char"/>
    <w:basedOn w:val="740"/>
    <w:link w:val="764"/>
    <w:uiPriority w:val="11"/>
    <w:rPr>
      <w:sz w:val="24"/>
      <w:szCs w:val="24"/>
    </w:rPr>
  </w:style>
  <w:style w:type="character" w:styleId="734">
    <w:name w:val="Quote Char"/>
    <w:link w:val="766"/>
    <w:uiPriority w:val="29"/>
    <w:rPr>
      <w:i/>
    </w:rPr>
  </w:style>
  <w:style w:type="character" w:styleId="735">
    <w:name w:val="Intense Quote Char"/>
    <w:link w:val="768"/>
    <w:uiPriority w:val="30"/>
    <w:rPr>
      <w:i/>
    </w:rPr>
  </w:style>
  <w:style w:type="character" w:styleId="736">
    <w:name w:val="Footnote Text Char"/>
    <w:link w:val="900"/>
    <w:uiPriority w:val="99"/>
    <w:rPr>
      <w:sz w:val="18"/>
    </w:rPr>
  </w:style>
  <w:style w:type="character" w:styleId="737">
    <w:name w:val="Endnote Text Char"/>
    <w:link w:val="903"/>
    <w:uiPriority w:val="99"/>
    <w:rPr>
      <w:sz w:val="20"/>
    </w:rPr>
  </w:style>
  <w:style w:type="paragraph" w:styleId="738" w:default="1">
    <w:name w:val="Normal"/>
    <w:qFormat/>
  </w:style>
  <w:style w:type="paragraph" w:styleId="739">
    <w:name w:val="Heading 3"/>
    <w:basedOn w:val="738"/>
    <w:next w:val="738"/>
    <w:link w:val="937"/>
    <w:pPr>
      <w:keepLines/>
      <w:keepNext/>
      <w:spacing w:before="32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</w:pPr>
    <w:rPr>
      <w:rFonts w:ascii="Arial" w:hAnsi="Arial" w:eastAsia="Arial" w:cs="Arial"/>
      <w:color w:val="434343"/>
      <w:sz w:val="28"/>
      <w:szCs w:val="28"/>
      <w:lang w:eastAsia="ru-RU"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paragraph" w:styleId="743" w:customStyle="1">
    <w:name w:val="Heading 1"/>
    <w:basedOn w:val="738"/>
    <w:next w:val="738"/>
    <w:link w:val="74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44" w:customStyle="1">
    <w:name w:val="Heading 1 Char"/>
    <w:basedOn w:val="740"/>
    <w:link w:val="743"/>
    <w:uiPriority w:val="9"/>
    <w:rPr>
      <w:rFonts w:ascii="Arial" w:hAnsi="Arial" w:eastAsia="Arial" w:cs="Arial"/>
      <w:sz w:val="40"/>
      <w:szCs w:val="40"/>
    </w:rPr>
  </w:style>
  <w:style w:type="paragraph" w:styleId="745" w:customStyle="1">
    <w:name w:val="Heading 2"/>
    <w:basedOn w:val="738"/>
    <w:next w:val="738"/>
    <w:link w:val="74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46" w:customStyle="1">
    <w:name w:val="Heading 2 Char"/>
    <w:basedOn w:val="740"/>
    <w:link w:val="745"/>
    <w:uiPriority w:val="9"/>
    <w:rPr>
      <w:rFonts w:ascii="Arial" w:hAnsi="Arial" w:eastAsia="Arial" w:cs="Arial"/>
      <w:sz w:val="34"/>
    </w:rPr>
  </w:style>
  <w:style w:type="paragraph" w:styleId="747" w:customStyle="1">
    <w:name w:val="Heading 3"/>
    <w:basedOn w:val="738"/>
    <w:next w:val="738"/>
    <w:link w:val="74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48" w:customStyle="1">
    <w:name w:val="Heading 3 Char"/>
    <w:basedOn w:val="740"/>
    <w:link w:val="747"/>
    <w:uiPriority w:val="9"/>
    <w:rPr>
      <w:rFonts w:ascii="Arial" w:hAnsi="Arial" w:eastAsia="Arial" w:cs="Arial"/>
      <w:sz w:val="30"/>
      <w:szCs w:val="30"/>
    </w:rPr>
  </w:style>
  <w:style w:type="paragraph" w:styleId="749" w:customStyle="1">
    <w:name w:val="Heading 4"/>
    <w:basedOn w:val="738"/>
    <w:next w:val="738"/>
    <w:link w:val="75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Heading 4 Char"/>
    <w:basedOn w:val="740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 w:customStyle="1">
    <w:name w:val="Heading 5"/>
    <w:basedOn w:val="738"/>
    <w:next w:val="738"/>
    <w:link w:val="75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2" w:customStyle="1">
    <w:name w:val="Heading 5 Char"/>
    <w:basedOn w:val="740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 w:customStyle="1">
    <w:name w:val="Heading 6"/>
    <w:basedOn w:val="738"/>
    <w:next w:val="738"/>
    <w:link w:val="75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54" w:customStyle="1">
    <w:name w:val="Heading 6 Char"/>
    <w:basedOn w:val="740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 w:customStyle="1">
    <w:name w:val="Heading 7"/>
    <w:basedOn w:val="738"/>
    <w:next w:val="738"/>
    <w:link w:val="75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56" w:customStyle="1">
    <w:name w:val="Heading 7 Char"/>
    <w:basedOn w:val="740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 w:customStyle="1">
    <w:name w:val="Heading 8"/>
    <w:basedOn w:val="738"/>
    <w:next w:val="738"/>
    <w:link w:val="75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58" w:customStyle="1">
    <w:name w:val="Heading 8 Char"/>
    <w:basedOn w:val="740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 w:customStyle="1">
    <w:name w:val="Heading 9"/>
    <w:basedOn w:val="738"/>
    <w:next w:val="738"/>
    <w:link w:val="7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customStyle="1">
    <w:name w:val="Heading 9 Char"/>
    <w:basedOn w:val="74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No Spacing"/>
    <w:uiPriority w:val="1"/>
    <w:qFormat/>
    <w:pPr>
      <w:spacing w:after="0" w:line="240" w:lineRule="auto"/>
    </w:pPr>
  </w:style>
  <w:style w:type="paragraph" w:styleId="762">
    <w:name w:val="Title"/>
    <w:basedOn w:val="738"/>
    <w:next w:val="738"/>
    <w:link w:val="763"/>
    <w:uiPriority w:val="10"/>
    <w:qFormat/>
    <w:pPr>
      <w:contextualSpacing/>
      <w:spacing w:before="300"/>
    </w:pPr>
    <w:rPr>
      <w:sz w:val="48"/>
      <w:szCs w:val="48"/>
    </w:rPr>
  </w:style>
  <w:style w:type="character" w:styleId="763" w:customStyle="1">
    <w:name w:val="Название Знак"/>
    <w:basedOn w:val="740"/>
    <w:link w:val="762"/>
    <w:uiPriority w:val="10"/>
    <w:rPr>
      <w:sz w:val="48"/>
      <w:szCs w:val="48"/>
    </w:rPr>
  </w:style>
  <w:style w:type="paragraph" w:styleId="764">
    <w:name w:val="Subtitle"/>
    <w:basedOn w:val="738"/>
    <w:next w:val="738"/>
    <w:link w:val="765"/>
    <w:uiPriority w:val="11"/>
    <w:qFormat/>
    <w:pPr>
      <w:spacing w:before="200"/>
    </w:pPr>
    <w:rPr>
      <w:sz w:val="24"/>
      <w:szCs w:val="24"/>
    </w:rPr>
  </w:style>
  <w:style w:type="character" w:styleId="765" w:customStyle="1">
    <w:name w:val="Подзаголовок Знак"/>
    <w:basedOn w:val="740"/>
    <w:link w:val="764"/>
    <w:uiPriority w:val="11"/>
    <w:rPr>
      <w:sz w:val="24"/>
      <w:szCs w:val="24"/>
    </w:rPr>
  </w:style>
  <w:style w:type="paragraph" w:styleId="766">
    <w:name w:val="Quote"/>
    <w:basedOn w:val="738"/>
    <w:next w:val="738"/>
    <w:link w:val="767"/>
    <w:uiPriority w:val="29"/>
    <w:qFormat/>
    <w:pPr>
      <w:ind w:left="720" w:right="720"/>
    </w:pPr>
    <w:rPr>
      <w:i/>
    </w:rPr>
  </w:style>
  <w:style w:type="character" w:styleId="767" w:customStyle="1">
    <w:name w:val="Цитата 2 Знак"/>
    <w:link w:val="766"/>
    <w:uiPriority w:val="29"/>
    <w:rPr>
      <w:i/>
    </w:rPr>
  </w:style>
  <w:style w:type="paragraph" w:styleId="768">
    <w:name w:val="Intense Quote"/>
    <w:basedOn w:val="738"/>
    <w:next w:val="738"/>
    <w:link w:val="7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 w:customStyle="1">
    <w:name w:val="Выделенная цитата Знак"/>
    <w:link w:val="768"/>
    <w:uiPriority w:val="30"/>
    <w:rPr>
      <w:i/>
    </w:rPr>
  </w:style>
  <w:style w:type="character" w:styleId="770" w:customStyle="1">
    <w:name w:val="Header Char"/>
    <w:basedOn w:val="740"/>
    <w:link w:val="918"/>
    <w:uiPriority w:val="99"/>
  </w:style>
  <w:style w:type="character" w:styleId="771" w:customStyle="1">
    <w:name w:val="Footer Char"/>
    <w:basedOn w:val="740"/>
    <w:link w:val="920"/>
    <w:uiPriority w:val="99"/>
  </w:style>
  <w:style w:type="paragraph" w:styleId="772" w:customStyle="1">
    <w:name w:val="Caption"/>
    <w:basedOn w:val="738"/>
    <w:next w:val="7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73" w:customStyle="1">
    <w:name w:val="Caption Char"/>
    <w:link w:val="920"/>
    <w:uiPriority w:val="99"/>
  </w:style>
  <w:style w:type="table" w:styleId="774" w:customStyle="1">
    <w:name w:val="Table Grid Light"/>
    <w:basedOn w:val="74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Plain Table 1"/>
    <w:basedOn w:val="74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 w:customStyle="1">
    <w:name w:val="Plain Table 2"/>
    <w:basedOn w:val="7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Plain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 w:customStyle="1">
    <w:name w:val="Plain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Plain Table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3" w:customStyle="1">
    <w:name w:val="Grid Table 4 - Accent 2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Grid Table 4 - Accent 3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5" w:customStyle="1">
    <w:name w:val="Grid Table 4 - Accent 4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Grid Table 4 - Accent 5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basedOn w:val="7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8" w:customStyle="1">
    <w:name w:val="Grid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7" w:customStyle="1">
    <w:name w:val="Grid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8" w:customStyle="1">
    <w:name w:val="Grid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9" w:customStyle="1">
    <w:name w:val="Grid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0" w:customStyle="1">
    <w:name w:val="Grid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1" w:customStyle="1">
    <w:name w:val="Grid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3" w:customStyle="1">
    <w:name w:val="Grid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4" w:customStyle="1">
    <w:name w:val="Grid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5" w:customStyle="1">
    <w:name w:val="Grid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6" w:customStyle="1">
    <w:name w:val="Grid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7" w:customStyle="1">
    <w:name w:val="Grid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Grid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1 Light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3" w:customStyle="1">
    <w:name w:val="List Table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5 Dark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6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7" w:customStyle="1">
    <w:name w:val="List Table 6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8" w:customStyle="1">
    <w:name w:val="List Table 6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9" w:customStyle="1">
    <w:name w:val="List Table 6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0" w:customStyle="1">
    <w:name w:val="List Table 6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1" w:customStyle="1">
    <w:name w:val="List Table 7 Colorful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2" w:customStyle="1">
    <w:name w:val="List Table 7 Colorful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3" w:customStyle="1">
    <w:name w:val="List Table 7 Colorful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4" w:customStyle="1">
    <w:name w:val="List Table 7 Colorful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5" w:customStyle="1">
    <w:name w:val="List Table 7 Colorful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6" w:customStyle="1">
    <w:name w:val="List Table 7 Colorful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7" w:customStyle="1">
    <w:name w:val="List Table 7 Colorful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78" w:customStyle="1">
    <w:name w:val="Lined - Accent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Lined - Accent 2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Lined - Accent 3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Lined - Accent 4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Lined - Accent 5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Lined - Accent 6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 &amp; Lined - Accent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7" w:customStyle="1">
    <w:name w:val="Bordered &amp; Lined - Accent 2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8" w:customStyle="1">
    <w:name w:val="Bordered &amp; Lined - Accent 3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9" w:customStyle="1">
    <w:name w:val="Bordered &amp; Lined - Accent 4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0" w:customStyle="1">
    <w:name w:val="Bordered &amp; Lined - Accent 5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1" w:customStyle="1">
    <w:name w:val="Bordered &amp; Lined - Accent 6"/>
    <w:basedOn w:val="74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2" w:customStyle="1">
    <w:name w:val="Bordered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5" w:customStyle="1">
    <w:name w:val="Bordered - Accent 3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6" w:customStyle="1">
    <w:name w:val="Bordered - Accent 4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7" w:customStyle="1">
    <w:name w:val="Bordered - Accent 5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8" w:customStyle="1">
    <w:name w:val="Bordered - Accent 6"/>
    <w:basedOn w:val="7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738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 w:customStyle="1">
    <w:name w:val="Текст сноски Знак"/>
    <w:link w:val="900"/>
    <w:uiPriority w:val="99"/>
    <w:rPr>
      <w:sz w:val="18"/>
    </w:rPr>
  </w:style>
  <w:style w:type="character" w:styleId="902">
    <w:name w:val="footnote reference"/>
    <w:basedOn w:val="740"/>
    <w:uiPriority w:val="99"/>
    <w:unhideWhenUsed/>
    <w:rPr>
      <w:vertAlign w:val="superscript"/>
    </w:rPr>
  </w:style>
  <w:style w:type="paragraph" w:styleId="903">
    <w:name w:val="endnote text"/>
    <w:basedOn w:val="738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 w:customStyle="1">
    <w:name w:val="Текст концевой сноски Знак"/>
    <w:link w:val="903"/>
    <w:uiPriority w:val="99"/>
    <w:rPr>
      <w:sz w:val="20"/>
    </w:rPr>
  </w:style>
  <w:style w:type="character" w:styleId="905">
    <w:name w:val="endnote reference"/>
    <w:basedOn w:val="740"/>
    <w:uiPriority w:val="99"/>
    <w:semiHidden/>
    <w:unhideWhenUsed/>
    <w:rPr>
      <w:vertAlign w:val="superscript"/>
    </w:rPr>
  </w:style>
  <w:style w:type="paragraph" w:styleId="906">
    <w:name w:val="toc 1"/>
    <w:basedOn w:val="738"/>
    <w:next w:val="738"/>
    <w:uiPriority w:val="39"/>
    <w:unhideWhenUsed/>
    <w:pPr>
      <w:spacing w:after="57"/>
    </w:pPr>
  </w:style>
  <w:style w:type="paragraph" w:styleId="907">
    <w:name w:val="toc 2"/>
    <w:basedOn w:val="738"/>
    <w:next w:val="738"/>
    <w:uiPriority w:val="39"/>
    <w:unhideWhenUsed/>
    <w:pPr>
      <w:ind w:left="283"/>
      <w:spacing w:after="57"/>
    </w:pPr>
  </w:style>
  <w:style w:type="paragraph" w:styleId="908">
    <w:name w:val="toc 3"/>
    <w:basedOn w:val="738"/>
    <w:next w:val="738"/>
    <w:uiPriority w:val="39"/>
    <w:unhideWhenUsed/>
    <w:pPr>
      <w:ind w:left="567"/>
      <w:spacing w:after="57"/>
    </w:pPr>
  </w:style>
  <w:style w:type="paragraph" w:styleId="909">
    <w:name w:val="toc 4"/>
    <w:basedOn w:val="738"/>
    <w:next w:val="738"/>
    <w:uiPriority w:val="39"/>
    <w:unhideWhenUsed/>
    <w:pPr>
      <w:ind w:left="850"/>
      <w:spacing w:after="57"/>
    </w:pPr>
  </w:style>
  <w:style w:type="paragraph" w:styleId="910">
    <w:name w:val="toc 5"/>
    <w:basedOn w:val="738"/>
    <w:next w:val="738"/>
    <w:uiPriority w:val="39"/>
    <w:unhideWhenUsed/>
    <w:pPr>
      <w:ind w:left="1134"/>
      <w:spacing w:after="57"/>
    </w:pPr>
  </w:style>
  <w:style w:type="paragraph" w:styleId="911">
    <w:name w:val="toc 6"/>
    <w:basedOn w:val="738"/>
    <w:next w:val="738"/>
    <w:uiPriority w:val="39"/>
    <w:unhideWhenUsed/>
    <w:pPr>
      <w:ind w:left="1417"/>
      <w:spacing w:after="57"/>
    </w:pPr>
  </w:style>
  <w:style w:type="paragraph" w:styleId="912">
    <w:name w:val="toc 7"/>
    <w:basedOn w:val="738"/>
    <w:next w:val="738"/>
    <w:uiPriority w:val="39"/>
    <w:unhideWhenUsed/>
    <w:pPr>
      <w:ind w:left="1701"/>
      <w:spacing w:after="57"/>
    </w:pPr>
  </w:style>
  <w:style w:type="paragraph" w:styleId="913">
    <w:name w:val="toc 8"/>
    <w:basedOn w:val="738"/>
    <w:next w:val="738"/>
    <w:uiPriority w:val="39"/>
    <w:unhideWhenUsed/>
    <w:pPr>
      <w:ind w:left="1984"/>
      <w:spacing w:after="57"/>
    </w:pPr>
  </w:style>
  <w:style w:type="paragraph" w:styleId="914">
    <w:name w:val="toc 9"/>
    <w:basedOn w:val="738"/>
    <w:next w:val="738"/>
    <w:uiPriority w:val="39"/>
    <w:unhideWhenUsed/>
    <w:pPr>
      <w:ind w:left="2268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738"/>
    <w:next w:val="738"/>
    <w:uiPriority w:val="99"/>
    <w:unhideWhenUsed/>
    <w:pPr>
      <w:spacing w:after="0"/>
    </w:pPr>
  </w:style>
  <w:style w:type="table" w:styleId="917">
    <w:name w:val="Table Grid"/>
    <w:basedOn w:val="7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8" w:customStyle="1">
    <w:name w:val="Header"/>
    <w:basedOn w:val="738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 w:customStyle="1">
    <w:name w:val="Верхний колонтитул Знак"/>
    <w:basedOn w:val="740"/>
    <w:link w:val="918"/>
    <w:uiPriority w:val="99"/>
  </w:style>
  <w:style w:type="paragraph" w:styleId="920" w:customStyle="1">
    <w:name w:val="Footer"/>
    <w:basedOn w:val="738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 w:customStyle="1">
    <w:name w:val="Нижний колонтитул Знак"/>
    <w:basedOn w:val="740"/>
    <w:link w:val="920"/>
    <w:uiPriority w:val="99"/>
  </w:style>
  <w:style w:type="paragraph" w:styleId="922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23">
    <w:name w:val="List Paragraph"/>
    <w:basedOn w:val="738"/>
    <w:uiPriority w:val="34"/>
    <w:qFormat/>
    <w:pPr>
      <w:contextualSpacing/>
      <w:ind w:left="720"/>
    </w:pPr>
  </w:style>
  <w:style w:type="paragraph" w:styleId="924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25">
    <w:name w:val="Normal (Web)"/>
    <w:basedOn w:val="738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>
    <w:name w:val="Body Text"/>
    <w:basedOn w:val="738"/>
    <w:link w:val="927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7" w:customStyle="1">
    <w:name w:val="Основной текст Знак"/>
    <w:basedOn w:val="740"/>
    <w:link w:val="92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28">
    <w:name w:val="Intense Emphasis"/>
    <w:basedOn w:val="740"/>
    <w:uiPriority w:val="21"/>
    <w:qFormat/>
    <w:rPr>
      <w:b/>
      <w:bCs/>
      <w:i/>
      <w:iCs/>
      <w:color w:val="4f81bd" w:themeColor="accent1"/>
    </w:rPr>
  </w:style>
  <w:style w:type="paragraph" w:styleId="929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0">
    <w:name w:val="Body Text Indent"/>
    <w:basedOn w:val="738"/>
    <w:link w:val="931"/>
    <w:uiPriority w:val="99"/>
    <w:semiHidden/>
    <w:unhideWhenUsed/>
    <w:pPr>
      <w:ind w:left="283"/>
      <w:spacing w:after="120"/>
    </w:pPr>
  </w:style>
  <w:style w:type="character" w:styleId="931" w:customStyle="1">
    <w:name w:val="Основной текст с отступом Знак"/>
    <w:basedOn w:val="740"/>
    <w:link w:val="930"/>
    <w:uiPriority w:val="99"/>
    <w:semiHidden/>
  </w:style>
  <w:style w:type="paragraph" w:styleId="932">
    <w:name w:val="Body Text Indent 2"/>
    <w:basedOn w:val="738"/>
    <w:link w:val="933"/>
    <w:uiPriority w:val="99"/>
    <w:semiHidden/>
    <w:unhideWhenUsed/>
    <w:pPr>
      <w:ind w:left="283"/>
      <w:spacing w:after="120" w:line="480" w:lineRule="auto"/>
    </w:pPr>
  </w:style>
  <w:style w:type="character" w:styleId="933" w:customStyle="1">
    <w:name w:val="Основной текст с отступом 2 Знак"/>
    <w:basedOn w:val="740"/>
    <w:link w:val="932"/>
    <w:uiPriority w:val="99"/>
    <w:semiHidden/>
  </w:style>
  <w:style w:type="paragraph" w:styleId="93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35">
    <w:name w:val="Strong"/>
    <w:basedOn w:val="740"/>
    <w:uiPriority w:val="22"/>
    <w:qFormat/>
    <w:rPr>
      <w:b/>
      <w:bCs/>
    </w:rPr>
  </w:style>
  <w:style w:type="character" w:styleId="936" w:customStyle="1">
    <w:name w:val="graytitle"/>
    <w:basedOn w:val="740"/>
  </w:style>
  <w:style w:type="character" w:styleId="937" w:customStyle="1">
    <w:name w:val="Заголовок 3 Знак"/>
    <w:basedOn w:val="740"/>
    <w:link w:val="739"/>
    <w:rPr>
      <w:rFonts w:ascii="Arial" w:hAnsi="Arial" w:eastAsia="Arial" w:cs="Arial"/>
      <w:color w:val="434343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8</cp:revision>
  <dcterms:created xsi:type="dcterms:W3CDTF">2023-02-21T09:42:00Z</dcterms:created>
  <dcterms:modified xsi:type="dcterms:W3CDTF">2023-07-02T06:41:24Z</dcterms:modified>
</cp:coreProperties>
</file>