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/>
    </w:p>
    <w:tbl>
      <w:tblPr>
        <w:tblpPr w:horzAnchor="margin" w:tblpXSpec="left" w:vertAnchor="page" w:tblpY="481" w:leftFromText="180" w:topFromText="0" w:rightFromText="180" w:bottomFromText="0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>
        <w:trPr>
          <w:trHeight w:val="1281" w:hRule="exact"/>
        </w:trPr>
        <w:tc>
          <w:tcPr>
            <w:shd w:val="clear" w:color="ffffff" w:fill="ffffff"/>
            <w:tcW w:w="10173" w:type="dxa"/>
            <w:textDirection w:val="lrTb"/>
            <w:noWrap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Приложение  4 </w:t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к приказу Ректора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     от «___»____  2023г.  № ____</w:t>
            </w:r>
            <w:r/>
          </w:p>
        </w:tc>
      </w:tr>
    </w:tbl>
    <w:p>
      <w:pPr>
        <w:jc w:val="center"/>
        <w:spacing w:after="0"/>
        <w:widowControl w:val="off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ИНСТРУКЦИЯ</w:t>
      </w:r>
      <w:r/>
    </w:p>
    <w:p>
      <w:pPr>
        <w:jc w:val="center"/>
        <w:spacing w:after="0"/>
        <w:widowControl w:val="off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 МЕРАХ ПОЖАРНОЙ БЕЗОПАСНОСТИ В  ХИМИЧЕСКОЙ ЛАБОРАТОРИИ</w:t>
      </w:r>
      <w:r/>
    </w:p>
    <w:p>
      <w:pPr>
        <w:jc w:val="center"/>
        <w:spacing w:after="0"/>
        <w:widowControl w:val="o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center"/>
        <w:keepLines/>
        <w:keepNext/>
        <w:widowControl w:val="off"/>
        <w:rPr>
          <w:rFonts w:ascii="Times New Roman" w:hAnsi="Times New Roman"/>
          <w:b/>
          <w:bCs/>
          <w:color w:val="000000"/>
          <w:sz w:val="24"/>
          <w:szCs w:val="24"/>
        </w:rPr>
        <w:outlineLvl w:val="0"/>
      </w:pPr>
      <w:r/>
      <w:bookmarkStart w:id="0" w:name="bookmark0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ОБЩИЕ ТРЕБОВАНИЯ </w:t>
      </w:r>
      <w:bookmarkEnd w:id="0"/>
      <w:r/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Настоящая инструкция устанавливает правила пожарной безопасности при работе в химической лаборатории.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Для предотвращения пожара в химической </w:t>
      </w:r>
      <w:r>
        <w:rPr>
          <w:rFonts w:ascii="Times New Roman" w:hAnsi="Times New Roman" w:cs="Times New Roman"/>
          <w:sz w:val="26"/>
          <w:szCs w:val="26"/>
        </w:rPr>
        <w:t xml:space="preserve">лаборатории </w:t>
      </w:r>
      <w:r>
        <w:rPr>
          <w:rFonts w:ascii="Times New Roman" w:hAnsi="Times New Roman" w:cs="Times New Roman"/>
          <w:sz w:val="26"/>
          <w:szCs w:val="26"/>
        </w:rPr>
        <w:t xml:space="preserve">строго соблюдать настоящую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инструкцию, а в случае возникновения пожара принимать все зависящие от них меры 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экстренной эвакуации учащихся, материальных ценностей и ликвидации пожара.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Педагоги, работающие в химической лаборатории, а также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учащиеся обязаны уметь быстро находить места расположения первичных средств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пожаротушения, знать план и способы эвакуации из химической </w:t>
      </w:r>
      <w:r>
        <w:rPr>
          <w:rFonts w:ascii="Times New Roman" w:hAnsi="Times New Roman" w:cs="Times New Roman"/>
          <w:sz w:val="26"/>
          <w:szCs w:val="26"/>
        </w:rPr>
        <w:t xml:space="preserve">лаборатории</w:t>
      </w:r>
      <w:r>
        <w:rPr>
          <w:rFonts w:ascii="Times New Roman" w:hAnsi="Times New Roman" w:cs="Times New Roman"/>
          <w:sz w:val="26"/>
          <w:szCs w:val="26"/>
        </w:rPr>
        <w:t xml:space="preserve"> здания 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случае пожара, правила поведения при возникновении пожара.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Ответственность за обеспечение противопожарной защиты в химической лаборатории,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выполнение данной инструкции несет преподаватель, проводящий в нем учебные занятия.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В химической </w:t>
      </w:r>
      <w:r>
        <w:rPr>
          <w:rFonts w:ascii="Times New Roman" w:hAnsi="Times New Roman" w:cs="Times New Roman"/>
          <w:sz w:val="26"/>
          <w:szCs w:val="26"/>
        </w:rPr>
        <w:t xml:space="preserve">лаборатории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строго запрещено: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выполнять перепланировку помещения с отступлением от требований действующих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строительных норм и правил, правил пожарной безопасности;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располагать не открывающиеся решетки, декоративные и архитектурные устройства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окнах, если они являются путями эвакуации;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использовать с целью отопления помещения нестандартные (самодельные) нагревательные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приборы;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использовать электроплитки, кипятильники, электрочайники;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оборачивать электрические лампы бумагой, тканью и другими горючими материалами;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использовать для освещения свечи, керосиновые лампы и фонари, осуществлять уборку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помещений, очистку оборудования с применением легковоспламеняющихся и горючих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жидкостей;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оставлять без присмотра включенные в электрическую сеть телевизоры, мультимедийные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проекторы, диапроекторы, компьютеры, принтеры и другие электроприборы;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включать в одну электрическую розетку несколько мощных потребителей электроэнергии.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1.6. В химической </w:t>
      </w:r>
      <w:r>
        <w:rPr>
          <w:rFonts w:ascii="Times New Roman" w:hAnsi="Times New Roman" w:cs="Times New Roman"/>
          <w:sz w:val="26"/>
          <w:szCs w:val="26"/>
        </w:rPr>
        <w:t xml:space="preserve">лаборатории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допускается размещать только необходимые для обеспечения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учебного процесса приборы, принадлежности, пособия, которые должны храниться в шкафах,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стеллажах.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1.7. Запрещается хранить  в химической </w:t>
      </w:r>
      <w:r>
        <w:rPr>
          <w:rFonts w:ascii="Times New Roman" w:hAnsi="Times New Roman" w:cs="Times New Roman"/>
          <w:sz w:val="26"/>
          <w:szCs w:val="26"/>
        </w:rPr>
        <w:t xml:space="preserve">лаборатории </w:t>
      </w:r>
      <w:r>
        <w:rPr>
          <w:rFonts w:ascii="Times New Roman" w:hAnsi="Times New Roman" w:cs="Times New Roman"/>
          <w:sz w:val="26"/>
          <w:szCs w:val="26"/>
        </w:rPr>
        <w:t xml:space="preserve"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учебно-наглядные пособия и учебное оборудование,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осуществлять   опыты и другие виды работ, которые не предусмотрены утвержденными перечнями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программами.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1.9. В химической </w:t>
      </w:r>
      <w:r>
        <w:rPr>
          <w:rFonts w:ascii="Times New Roman" w:hAnsi="Times New Roman" w:cs="Times New Roman"/>
          <w:sz w:val="26"/>
          <w:szCs w:val="26"/>
        </w:rPr>
        <w:t xml:space="preserve">лаборатории </w:t>
      </w:r>
      <w:r>
        <w:rPr>
          <w:rFonts w:ascii="Times New Roman" w:hAnsi="Times New Roman" w:cs="Times New Roman"/>
          <w:sz w:val="26"/>
          <w:szCs w:val="26"/>
        </w:rPr>
        <w:t xml:space="preserve">число столов (парт) не должно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превышать количества, определенного нормой проектирования. Расстановка мебели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оборудования не должна препятствовать эвакуации учащихся из аудитории.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1.10. Хранение м</w:t>
      </w:r>
      <w:r>
        <w:rPr>
          <w:rFonts w:ascii="Times New Roman" w:hAnsi="Times New Roman" w:cs="Times New Roman"/>
          <w:sz w:val="26"/>
          <w:szCs w:val="26"/>
        </w:rPr>
        <w:t xml:space="preserve">атериалов и веществ, используемых при проведении лабораторных работ, должно обеспечиваться с учетом их химических свойств и требований пожарной безопасности. Совместное хранение веществ, взаимодействие которых может вызвать пожар или взрыв, не допускается.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1.11. Хранение химических реактивов должно проводиться в строгом соответствии с требованиями. При наличии у р</w:t>
      </w:r>
      <w:r>
        <w:rPr>
          <w:rFonts w:ascii="Times New Roman" w:hAnsi="Times New Roman" w:cs="Times New Roman"/>
          <w:sz w:val="26"/>
          <w:szCs w:val="26"/>
        </w:rPr>
        <w:t xml:space="preserve">еактивов огнеопасных и взрывоопасных свойств на таре должна быть дополнительная этикетка с надписью «Огнеопасно» (красная), «Взрывоопасно» (голубая). Сосуды с легковоспламеняющимися и горючими жидкостями должны размещаться в переносном металлическом ящике </w:t>
      </w:r>
      <w:r>
        <w:rPr>
          <w:rFonts w:ascii="Times New Roman" w:hAnsi="Times New Roman" w:cs="Times New Roman"/>
          <w:sz w:val="26"/>
          <w:szCs w:val="26"/>
        </w:rPr>
        <w:t xml:space="preserve">с верхним расположением крышки. Ящик должен иметь сбоку металлические ручки, окрашиваться светлой краской и на крышке должен быть знак безопасности «Огнеопасно». На дно ящика насыпается песок слоем не менее 5 см или укладывается листовой асбест слоем 1 см.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jc w:val="center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 ТРЕБОВАНИЯ ПОЖАРНОЙ БЕЗОПАСНОСТИ ПЕРЕД НАЧАЛОМ РАБОТЫ 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Внимательно изучить правила противопожарной безопасности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химической лаборатории, порядок безопасной работы с электрооборудованием.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Проверить исправность систем отопления и вентиляции, электрооборудования, принять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меры к устранению выявленных неисправностей, которые потенциально могут привести 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возникновению пожара (учащиеся обо всех обнаруженных недостатках сообщают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преподавателю, запрещается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самостоятельно устранять недостатки).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Проверить, свободны ли пути эвакуации из химической лаборатории, проходы к первичным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средствам пожаротушения.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Подготовить к работе необходимое оборудование и приборы, учебно-наглядные пособия,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проверить их исправность.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Личные вещи, сумки, рюкзаки и портфели студены располагают таким образом, чтобы 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допускать загромождения ими проходов.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 Преподаватель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должен проверить наличие и исправность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первичных средств пожаротушения, а также проинструктировать учащихся в начале занятия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 мерах пожарной безопасности.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jc w:val="center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 ТРЕБОВАНИЯ ПОЖАРНОЙ БЕЗОПАСНОСТИ ВО ВРЕМЯ РАБОТЫ 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Строго соблюдать в химической лаборатории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все установленные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правила противопожарной защиты, требования инструкции по пожарной безопасности в аудитории и установленный противопожарный режим.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3.2. Пребывание учащихся в лаборантской и в помещении </w:t>
      </w:r>
      <w:r>
        <w:rPr>
          <w:rFonts w:ascii="Times New Roman" w:hAnsi="Times New Roman" w:cs="Times New Roman"/>
          <w:sz w:val="26"/>
          <w:szCs w:val="26"/>
        </w:rPr>
        <w:t xml:space="preserve">химической лаборатории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разрешается только в присутствии </w:t>
      </w:r>
      <w:r>
        <w:rPr>
          <w:rFonts w:ascii="Times New Roman" w:hAnsi="Times New Roman" w:cs="Times New Roman"/>
          <w:sz w:val="26"/>
          <w:szCs w:val="26"/>
        </w:rPr>
        <w:t xml:space="preserve">преподавателя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3.3. Учащиеся не допускаются к выполнению обязанностей лаборанта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лаборатории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химии.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3.4. Лабораторные работы, лабораторный практикум учащимися проводятся только в присутствии преподавателя или лаборанта.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3.5. Запрещаетс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я пользоваться разбитой или треснутой стеклянной посудой, применять приборы и устройства, не соответствующие требованиям безопасности труда, а также самодельные приборы. Не применять оборудование, приборы, провода и кабели с открытыми токоведущими частями.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3.6. Не оставлять без присмотра работающие электронагревательные приборы; не пользоваться приборами с открытой спиралью.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3.7. Все электрические приборы должны иметь указатели напряжения, на которое они рассчитаны и полярность.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3.8. Запрещается подавать к рабочим столам учащихся напряжение свыше 42 В переменного и 110 В постоянного тока.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3.9. Категорически запрещается применять бензин в качестве топлива в спиртовках.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3.10. Для проведения лабораторных работ и лабораторного практикума запрещается выдавать учащимся приборы с надписью на их пане лях (корпусах) «Только для проведения опытов преподавателем».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3.11. В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лаборатории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химии запрещается: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использовать кабели и провода с поврежденной или потерявшей защитные свойства изоляцией;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оставлять под напряжением электрические провода и кабели с неизолированными концами;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пользоваться поврежденными розетками, осветительными коробками, рубильниками и другими электроустановочными изделиями;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завязывать и скручивать провода, а также оттягивать провода и светильники;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использовать ролики, выключатели, штепсельные розетки для подвешивания одежды и других предметов.</w:t>
      </w:r>
      <w:r>
        <w:rPr>
          <w:sz w:val="26"/>
          <w:szCs w:val="26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jc w:val="center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5. ТРЕБОВАНИЯ ПОЖАРНОЙ БЕЗОПАСНОСТИ В АВАРИЙНЫХ СИТУАЦИЯХ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В случае выявления какой-либо неисправности в работе электрооборудования,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находящегося под напряжением (повышенном его нагревании, появлении искрения и т.д.),незамедлительно отключить источник электропитания и доложить об этом ответственным лицам НГТУ.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При коротком замыкании в электрооборудовании и его возгорании немедленно отключить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его от электрической сети, экстренно эвакуировать всех учащихся из аудитории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безопасное место. Оповестить о пожаре сотрудников охраны ( при необходимости привести в действие ручной пожарный извещатель)  и по возможности приступить к ликвидации очага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возгорания всеми имеющимися в наличии средствами пожаротушения.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5.3. Эвакуацию проводить в соответствии с утвержденным планом, с учетом распространения на путях эвакуации опасных факторов пожара (дым, пламя, повышенная температура).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5.4. Во время передвижения в сильно задымленных помещениях необходимо нагибаться или ползти. В задымленном помещении во избежание потери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ориентировки следует передвигаться только вдоль стен.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5.5. Если все пути эвакуации охвачены огнем или сильно задымлены, следует организовать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спасение людей через окна по пожарным лестницам. В этом случае дверь помещения, из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которого ведется эвакуация, необходимо плотно закрыть, загерметизировать влажной тканью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все отверстия и щели, вентиляционные каналы, чтобы предотвратить приток воздуха из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коридора.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5.6. Последним покидает химическую лабораторию преподаватель, осуществляющий эвакуацию,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только после того, как лично убедится в отсутствии там кого-либо из учащихся.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5.7. Принять меры  к  возникновению и распространение паники.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jc w:val="center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6. ТРЕБОВАНИЯ ПОЖАРНОЙ БЕЗОПАСНОСТИ ПО ОКОНЧАНИИ РАБОТЫ 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6.1. Отключить все электрические устройства от электросети.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 Привести в надлежащий порядок рабочее место, убрать оборудование в шкафы, вынести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из помещения кабинета мусор.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6.3. После окончания занятий в химической лаборатории преподаватель должен тщательно осмотреть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помещение, устранить все выявленные недостатки или оповестить о них соответствующие службы, обесточить электрическую сеть.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6.4. Закрыть все окна, выключить освещение, закрыть химическую лабораторию, ключ сдать вахтеру.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748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Разработал:</w:t>
      </w:r>
      <w:r>
        <w:rPr>
          <w:sz w:val="26"/>
          <w:szCs w:val="26"/>
        </w:rPr>
      </w:r>
      <w:r/>
    </w:p>
    <w:p>
      <w:pPr>
        <w:pStyle w:val="748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748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748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отдела пожарной безопасности</w:t>
      </w:r>
      <w:r>
        <w:rPr>
          <w:sz w:val="26"/>
          <w:szCs w:val="26"/>
        </w:rPr>
      </w:r>
      <w:r/>
    </w:p>
    <w:p>
      <w:pPr>
        <w:pStyle w:val="748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технических средств охраны                                                            А.Л. Николаев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sz w:val="26"/>
          <w:szCs w:val="26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14665847"/>
      <w:docPartObj>
        <w:docPartGallery w:val="Page Numbers (Bottom of Page)"/>
        <w:docPartUnique w:val="true"/>
      </w:docPartObj>
      <w:rPr/>
    </w:sdtPr>
    <w:sdtContent>
      <w:p>
        <w:pPr>
          <w:pStyle w:val="907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4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/>
      </w:p>
    </w:sdtContent>
  </w:sdt>
  <w:p>
    <w:pPr>
      <w:pStyle w:val="90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0" w:firstLine="397"/>
        <w:tabs>
          <w:tab w:val="num" w:pos="567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0">
    <w:name w:val="Title Char"/>
    <w:basedOn w:val="727"/>
    <w:link w:val="749"/>
    <w:uiPriority w:val="10"/>
    <w:rPr>
      <w:sz w:val="48"/>
      <w:szCs w:val="48"/>
    </w:rPr>
  </w:style>
  <w:style w:type="character" w:styleId="721">
    <w:name w:val="Subtitle Char"/>
    <w:basedOn w:val="727"/>
    <w:link w:val="751"/>
    <w:uiPriority w:val="11"/>
    <w:rPr>
      <w:sz w:val="24"/>
      <w:szCs w:val="24"/>
    </w:rPr>
  </w:style>
  <w:style w:type="character" w:styleId="722">
    <w:name w:val="Quote Char"/>
    <w:link w:val="753"/>
    <w:uiPriority w:val="29"/>
    <w:rPr>
      <w:i/>
    </w:rPr>
  </w:style>
  <w:style w:type="character" w:styleId="723">
    <w:name w:val="Intense Quote Char"/>
    <w:link w:val="755"/>
    <w:uiPriority w:val="30"/>
    <w:rPr>
      <w:i/>
    </w:rPr>
  </w:style>
  <w:style w:type="character" w:styleId="724">
    <w:name w:val="Footnote Text Char"/>
    <w:link w:val="887"/>
    <w:uiPriority w:val="99"/>
    <w:rPr>
      <w:sz w:val="18"/>
    </w:rPr>
  </w:style>
  <w:style w:type="character" w:styleId="725">
    <w:name w:val="Endnote Text Char"/>
    <w:link w:val="890"/>
    <w:uiPriority w:val="99"/>
    <w:rPr>
      <w:sz w:val="20"/>
    </w:rPr>
  </w:style>
  <w:style w:type="paragraph" w:styleId="726" w:default="1">
    <w:name w:val="Normal"/>
    <w:qFormat/>
  </w:style>
  <w:style w:type="character" w:styleId="727" w:default="1">
    <w:name w:val="Default Paragraph Font"/>
    <w:uiPriority w:val="1"/>
    <w:semiHidden/>
    <w:unhideWhenUsed/>
  </w:style>
  <w:style w:type="table" w:styleId="72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9" w:default="1">
    <w:name w:val="No List"/>
    <w:uiPriority w:val="99"/>
    <w:semiHidden/>
    <w:unhideWhenUsed/>
  </w:style>
  <w:style w:type="paragraph" w:styleId="730" w:customStyle="1">
    <w:name w:val="Heading 1"/>
    <w:basedOn w:val="726"/>
    <w:next w:val="726"/>
    <w:link w:val="731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731" w:customStyle="1">
    <w:name w:val="Heading 1 Char"/>
    <w:basedOn w:val="727"/>
    <w:link w:val="730"/>
    <w:uiPriority w:val="9"/>
    <w:rPr>
      <w:rFonts w:ascii="Arial" w:hAnsi="Arial" w:eastAsia="Arial" w:cs="Arial"/>
      <w:sz w:val="40"/>
      <w:szCs w:val="40"/>
    </w:rPr>
  </w:style>
  <w:style w:type="paragraph" w:styleId="732" w:customStyle="1">
    <w:name w:val="Heading 2"/>
    <w:basedOn w:val="726"/>
    <w:next w:val="726"/>
    <w:link w:val="73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733" w:customStyle="1">
    <w:name w:val="Heading 2 Char"/>
    <w:basedOn w:val="727"/>
    <w:link w:val="732"/>
    <w:uiPriority w:val="9"/>
    <w:rPr>
      <w:rFonts w:ascii="Arial" w:hAnsi="Arial" w:eastAsia="Arial" w:cs="Arial"/>
      <w:sz w:val="34"/>
    </w:rPr>
  </w:style>
  <w:style w:type="paragraph" w:styleId="734" w:customStyle="1">
    <w:name w:val="Heading 3"/>
    <w:basedOn w:val="726"/>
    <w:next w:val="726"/>
    <w:link w:val="735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735" w:customStyle="1">
    <w:name w:val="Heading 3 Char"/>
    <w:basedOn w:val="727"/>
    <w:link w:val="734"/>
    <w:uiPriority w:val="9"/>
    <w:rPr>
      <w:rFonts w:ascii="Arial" w:hAnsi="Arial" w:eastAsia="Arial" w:cs="Arial"/>
      <w:sz w:val="30"/>
      <w:szCs w:val="30"/>
    </w:rPr>
  </w:style>
  <w:style w:type="paragraph" w:styleId="736" w:customStyle="1">
    <w:name w:val="Heading 4"/>
    <w:basedOn w:val="726"/>
    <w:next w:val="726"/>
    <w:link w:val="73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7" w:customStyle="1">
    <w:name w:val="Heading 4 Char"/>
    <w:basedOn w:val="727"/>
    <w:link w:val="736"/>
    <w:uiPriority w:val="9"/>
    <w:rPr>
      <w:rFonts w:ascii="Arial" w:hAnsi="Arial" w:eastAsia="Arial" w:cs="Arial"/>
      <w:b/>
      <w:bCs/>
      <w:sz w:val="26"/>
      <w:szCs w:val="26"/>
    </w:rPr>
  </w:style>
  <w:style w:type="paragraph" w:styleId="738" w:customStyle="1">
    <w:name w:val="Heading 5"/>
    <w:basedOn w:val="726"/>
    <w:next w:val="726"/>
    <w:link w:val="73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Heading 5 Char"/>
    <w:basedOn w:val="727"/>
    <w:link w:val="738"/>
    <w:uiPriority w:val="9"/>
    <w:rPr>
      <w:rFonts w:ascii="Arial" w:hAnsi="Arial" w:eastAsia="Arial" w:cs="Arial"/>
      <w:b/>
      <w:bCs/>
      <w:sz w:val="24"/>
      <w:szCs w:val="24"/>
    </w:rPr>
  </w:style>
  <w:style w:type="paragraph" w:styleId="740" w:customStyle="1">
    <w:name w:val="Heading 6"/>
    <w:basedOn w:val="726"/>
    <w:next w:val="726"/>
    <w:link w:val="74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741" w:customStyle="1">
    <w:name w:val="Heading 6 Char"/>
    <w:basedOn w:val="727"/>
    <w:link w:val="740"/>
    <w:uiPriority w:val="9"/>
    <w:rPr>
      <w:rFonts w:ascii="Arial" w:hAnsi="Arial" w:eastAsia="Arial" w:cs="Arial"/>
      <w:b/>
      <w:bCs/>
      <w:sz w:val="22"/>
      <w:szCs w:val="22"/>
    </w:rPr>
  </w:style>
  <w:style w:type="paragraph" w:styleId="742" w:customStyle="1">
    <w:name w:val="Heading 7"/>
    <w:basedOn w:val="726"/>
    <w:next w:val="726"/>
    <w:link w:val="743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743" w:customStyle="1">
    <w:name w:val="Heading 7 Char"/>
    <w:basedOn w:val="727"/>
    <w:link w:val="7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4" w:customStyle="1">
    <w:name w:val="Heading 8"/>
    <w:basedOn w:val="726"/>
    <w:next w:val="726"/>
    <w:link w:val="74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745" w:customStyle="1">
    <w:name w:val="Heading 8 Char"/>
    <w:basedOn w:val="727"/>
    <w:link w:val="744"/>
    <w:uiPriority w:val="9"/>
    <w:rPr>
      <w:rFonts w:ascii="Arial" w:hAnsi="Arial" w:eastAsia="Arial" w:cs="Arial"/>
      <w:i/>
      <w:iCs/>
      <w:sz w:val="22"/>
      <w:szCs w:val="22"/>
    </w:rPr>
  </w:style>
  <w:style w:type="paragraph" w:styleId="746" w:customStyle="1">
    <w:name w:val="Heading 9"/>
    <w:basedOn w:val="726"/>
    <w:next w:val="726"/>
    <w:link w:val="74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7" w:customStyle="1">
    <w:name w:val="Heading 9 Char"/>
    <w:basedOn w:val="727"/>
    <w:link w:val="746"/>
    <w:uiPriority w:val="9"/>
    <w:rPr>
      <w:rFonts w:ascii="Arial" w:hAnsi="Arial" w:eastAsia="Arial" w:cs="Arial"/>
      <w:i/>
      <w:iCs/>
      <w:sz w:val="21"/>
      <w:szCs w:val="21"/>
    </w:rPr>
  </w:style>
  <w:style w:type="paragraph" w:styleId="748">
    <w:name w:val="No Spacing"/>
    <w:uiPriority w:val="1"/>
    <w:qFormat/>
    <w:pPr>
      <w:spacing w:after="0" w:line="240" w:lineRule="auto"/>
    </w:pPr>
  </w:style>
  <w:style w:type="paragraph" w:styleId="749">
    <w:name w:val="Title"/>
    <w:basedOn w:val="726"/>
    <w:next w:val="726"/>
    <w:link w:val="750"/>
    <w:uiPriority w:val="10"/>
    <w:qFormat/>
    <w:pPr>
      <w:contextualSpacing/>
      <w:spacing w:before="300"/>
    </w:pPr>
    <w:rPr>
      <w:sz w:val="48"/>
      <w:szCs w:val="48"/>
    </w:rPr>
  </w:style>
  <w:style w:type="character" w:styleId="750" w:customStyle="1">
    <w:name w:val="Название Знак"/>
    <w:basedOn w:val="727"/>
    <w:link w:val="749"/>
    <w:uiPriority w:val="10"/>
    <w:rPr>
      <w:sz w:val="48"/>
      <w:szCs w:val="48"/>
    </w:rPr>
  </w:style>
  <w:style w:type="paragraph" w:styleId="751">
    <w:name w:val="Subtitle"/>
    <w:basedOn w:val="726"/>
    <w:next w:val="726"/>
    <w:link w:val="752"/>
    <w:uiPriority w:val="11"/>
    <w:qFormat/>
    <w:pPr>
      <w:spacing w:before="200"/>
    </w:pPr>
    <w:rPr>
      <w:sz w:val="24"/>
      <w:szCs w:val="24"/>
    </w:rPr>
  </w:style>
  <w:style w:type="character" w:styleId="752" w:customStyle="1">
    <w:name w:val="Подзаголовок Знак"/>
    <w:basedOn w:val="727"/>
    <w:link w:val="751"/>
    <w:uiPriority w:val="11"/>
    <w:rPr>
      <w:sz w:val="24"/>
      <w:szCs w:val="24"/>
    </w:rPr>
  </w:style>
  <w:style w:type="paragraph" w:styleId="753">
    <w:name w:val="Quote"/>
    <w:basedOn w:val="726"/>
    <w:next w:val="726"/>
    <w:link w:val="754"/>
    <w:uiPriority w:val="29"/>
    <w:qFormat/>
    <w:pPr>
      <w:ind w:left="720" w:right="720"/>
    </w:pPr>
    <w:rPr>
      <w:i/>
    </w:rPr>
  </w:style>
  <w:style w:type="character" w:styleId="754" w:customStyle="1">
    <w:name w:val="Цитата 2 Знак"/>
    <w:link w:val="753"/>
    <w:uiPriority w:val="29"/>
    <w:rPr>
      <w:i/>
    </w:rPr>
  </w:style>
  <w:style w:type="paragraph" w:styleId="755">
    <w:name w:val="Intense Quote"/>
    <w:basedOn w:val="726"/>
    <w:next w:val="726"/>
    <w:link w:val="75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6" w:customStyle="1">
    <w:name w:val="Выделенная цитата Знак"/>
    <w:link w:val="755"/>
    <w:uiPriority w:val="30"/>
    <w:rPr>
      <w:i/>
    </w:rPr>
  </w:style>
  <w:style w:type="character" w:styleId="757" w:customStyle="1">
    <w:name w:val="Header Char"/>
    <w:basedOn w:val="727"/>
    <w:link w:val="905"/>
    <w:uiPriority w:val="99"/>
  </w:style>
  <w:style w:type="character" w:styleId="758" w:customStyle="1">
    <w:name w:val="Footer Char"/>
    <w:basedOn w:val="727"/>
    <w:link w:val="907"/>
    <w:uiPriority w:val="99"/>
  </w:style>
  <w:style w:type="paragraph" w:styleId="759" w:customStyle="1">
    <w:name w:val="Caption"/>
    <w:basedOn w:val="726"/>
    <w:next w:val="726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60" w:customStyle="1">
    <w:name w:val="Caption Char"/>
    <w:link w:val="907"/>
    <w:uiPriority w:val="99"/>
  </w:style>
  <w:style w:type="table" w:styleId="761" w:customStyle="1">
    <w:name w:val="Table Grid Light"/>
    <w:basedOn w:val="72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 w:customStyle="1">
    <w:name w:val="Plain Table 1"/>
    <w:basedOn w:val="72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 w:customStyle="1">
    <w:name w:val="Plain Table 2"/>
    <w:basedOn w:val="7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 w:customStyle="1">
    <w:name w:val="Plain Table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5" w:customStyle="1">
    <w:name w:val="Plain Table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Plain Table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1 Light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4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9" w:customStyle="1">
    <w:name w:val="Grid Table 4 - Accent 1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0" w:customStyle="1">
    <w:name w:val="Grid Table 4 - Accent 2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1" w:customStyle="1">
    <w:name w:val="Grid Table 4 - Accent 3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2" w:customStyle="1">
    <w:name w:val="Grid Table 4 - Accent 4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3" w:customStyle="1">
    <w:name w:val="Grid Table 4 - Accent 5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4" w:customStyle="1">
    <w:name w:val="Grid Table 4 - Accent 6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5" w:customStyle="1">
    <w:name w:val="Grid Table 5 Dark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6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3" w:customStyle="1">
    <w:name w:val="Grid Table 6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4" w:customStyle="1">
    <w:name w:val="Grid Table 6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5" w:customStyle="1">
    <w:name w:val="Grid Table 6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6" w:customStyle="1">
    <w:name w:val="Grid Table 6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7" w:customStyle="1">
    <w:name w:val="Grid Table 6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8" w:customStyle="1">
    <w:name w:val="Grid Table 6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9" w:customStyle="1">
    <w:name w:val="Grid Table 7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0" w:customStyle="1">
    <w:name w:val="List Table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5 Dark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6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2" w:customStyle="1">
    <w:name w:val="List Table 6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3" w:customStyle="1">
    <w:name w:val="List Table 6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4" w:customStyle="1">
    <w:name w:val="List Table 6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5" w:customStyle="1">
    <w:name w:val="List Table 6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6" w:customStyle="1">
    <w:name w:val="List Table 6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7" w:customStyle="1">
    <w:name w:val="List Table 6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8" w:customStyle="1">
    <w:name w:val="List Table 7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ned - Accent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6" w:customStyle="1">
    <w:name w:val="Lined - Accent 1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7" w:customStyle="1">
    <w:name w:val="Lined - Accent 2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8" w:customStyle="1">
    <w:name w:val="Lined - Accent 3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9" w:customStyle="1">
    <w:name w:val="Lined - Accent 4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0" w:customStyle="1">
    <w:name w:val="Lined - Accent 5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1" w:customStyle="1">
    <w:name w:val="Lined - Accent 6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2" w:customStyle="1">
    <w:name w:val="Bordered &amp; Lined - Accent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3" w:customStyle="1">
    <w:name w:val="Bordered &amp; Lined - Accent 1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4" w:customStyle="1">
    <w:name w:val="Bordered &amp; Lined - Accent 2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5" w:customStyle="1">
    <w:name w:val="Bordered &amp; Lined - Accent 3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6" w:customStyle="1">
    <w:name w:val="Bordered &amp; Lined - Accent 4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7" w:customStyle="1">
    <w:name w:val="Bordered &amp; Lined - Accent 5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8" w:customStyle="1">
    <w:name w:val="Bordered &amp; Lined - Accent 6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9" w:customStyle="1">
    <w:name w:val="Bordered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0" w:customStyle="1">
    <w:name w:val="Bordered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1" w:customStyle="1">
    <w:name w:val="Bordered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2" w:customStyle="1">
    <w:name w:val="Bordered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3" w:customStyle="1">
    <w:name w:val="Bordered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4" w:customStyle="1">
    <w:name w:val="Bordered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5" w:customStyle="1">
    <w:name w:val="Bordered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6">
    <w:name w:val="Hyperlink"/>
    <w:uiPriority w:val="99"/>
    <w:unhideWhenUsed/>
    <w:rPr>
      <w:color w:val="0000ff" w:themeColor="hyperlink"/>
      <w:u w:val="single"/>
    </w:rPr>
  </w:style>
  <w:style w:type="paragraph" w:styleId="887">
    <w:name w:val="footnote text"/>
    <w:basedOn w:val="726"/>
    <w:link w:val="888"/>
    <w:uiPriority w:val="99"/>
    <w:semiHidden/>
    <w:unhideWhenUsed/>
    <w:pPr>
      <w:spacing w:after="40" w:line="240" w:lineRule="auto"/>
    </w:pPr>
    <w:rPr>
      <w:sz w:val="18"/>
    </w:rPr>
  </w:style>
  <w:style w:type="character" w:styleId="888" w:customStyle="1">
    <w:name w:val="Текст сноски Знак"/>
    <w:link w:val="887"/>
    <w:uiPriority w:val="99"/>
    <w:rPr>
      <w:sz w:val="18"/>
    </w:rPr>
  </w:style>
  <w:style w:type="character" w:styleId="889">
    <w:name w:val="footnote reference"/>
    <w:basedOn w:val="727"/>
    <w:uiPriority w:val="99"/>
    <w:unhideWhenUsed/>
    <w:rPr>
      <w:vertAlign w:val="superscript"/>
    </w:rPr>
  </w:style>
  <w:style w:type="paragraph" w:styleId="890">
    <w:name w:val="endnote text"/>
    <w:basedOn w:val="726"/>
    <w:link w:val="891"/>
    <w:uiPriority w:val="99"/>
    <w:semiHidden/>
    <w:unhideWhenUsed/>
    <w:pPr>
      <w:spacing w:after="0" w:line="240" w:lineRule="auto"/>
    </w:pPr>
    <w:rPr>
      <w:sz w:val="20"/>
    </w:rPr>
  </w:style>
  <w:style w:type="character" w:styleId="891" w:customStyle="1">
    <w:name w:val="Текст концевой сноски Знак"/>
    <w:link w:val="890"/>
    <w:uiPriority w:val="99"/>
    <w:rPr>
      <w:sz w:val="20"/>
    </w:rPr>
  </w:style>
  <w:style w:type="character" w:styleId="892">
    <w:name w:val="endnote reference"/>
    <w:basedOn w:val="727"/>
    <w:uiPriority w:val="99"/>
    <w:semiHidden/>
    <w:unhideWhenUsed/>
    <w:rPr>
      <w:vertAlign w:val="superscript"/>
    </w:rPr>
  </w:style>
  <w:style w:type="paragraph" w:styleId="893">
    <w:name w:val="toc 1"/>
    <w:basedOn w:val="726"/>
    <w:next w:val="726"/>
    <w:uiPriority w:val="39"/>
    <w:unhideWhenUsed/>
    <w:pPr>
      <w:spacing w:after="57"/>
    </w:pPr>
  </w:style>
  <w:style w:type="paragraph" w:styleId="894">
    <w:name w:val="toc 2"/>
    <w:basedOn w:val="726"/>
    <w:next w:val="726"/>
    <w:uiPriority w:val="39"/>
    <w:unhideWhenUsed/>
    <w:pPr>
      <w:ind w:left="283"/>
      <w:spacing w:after="57"/>
    </w:pPr>
  </w:style>
  <w:style w:type="paragraph" w:styleId="895">
    <w:name w:val="toc 3"/>
    <w:basedOn w:val="726"/>
    <w:next w:val="726"/>
    <w:uiPriority w:val="39"/>
    <w:unhideWhenUsed/>
    <w:pPr>
      <w:ind w:left="567"/>
      <w:spacing w:after="57"/>
    </w:pPr>
  </w:style>
  <w:style w:type="paragraph" w:styleId="896">
    <w:name w:val="toc 4"/>
    <w:basedOn w:val="726"/>
    <w:next w:val="726"/>
    <w:uiPriority w:val="39"/>
    <w:unhideWhenUsed/>
    <w:pPr>
      <w:ind w:left="850"/>
      <w:spacing w:after="57"/>
    </w:pPr>
  </w:style>
  <w:style w:type="paragraph" w:styleId="897">
    <w:name w:val="toc 5"/>
    <w:basedOn w:val="726"/>
    <w:next w:val="726"/>
    <w:uiPriority w:val="39"/>
    <w:unhideWhenUsed/>
    <w:pPr>
      <w:ind w:left="1134"/>
      <w:spacing w:after="57"/>
    </w:pPr>
  </w:style>
  <w:style w:type="paragraph" w:styleId="898">
    <w:name w:val="toc 6"/>
    <w:basedOn w:val="726"/>
    <w:next w:val="726"/>
    <w:uiPriority w:val="39"/>
    <w:unhideWhenUsed/>
    <w:pPr>
      <w:ind w:left="1417"/>
      <w:spacing w:after="57"/>
    </w:pPr>
  </w:style>
  <w:style w:type="paragraph" w:styleId="899">
    <w:name w:val="toc 7"/>
    <w:basedOn w:val="726"/>
    <w:next w:val="726"/>
    <w:uiPriority w:val="39"/>
    <w:unhideWhenUsed/>
    <w:pPr>
      <w:ind w:left="1701"/>
      <w:spacing w:after="57"/>
    </w:pPr>
  </w:style>
  <w:style w:type="paragraph" w:styleId="900">
    <w:name w:val="toc 8"/>
    <w:basedOn w:val="726"/>
    <w:next w:val="726"/>
    <w:uiPriority w:val="39"/>
    <w:unhideWhenUsed/>
    <w:pPr>
      <w:ind w:left="1984"/>
      <w:spacing w:after="57"/>
    </w:pPr>
  </w:style>
  <w:style w:type="paragraph" w:styleId="901">
    <w:name w:val="toc 9"/>
    <w:basedOn w:val="726"/>
    <w:next w:val="726"/>
    <w:uiPriority w:val="39"/>
    <w:unhideWhenUsed/>
    <w:pPr>
      <w:ind w:left="2268"/>
      <w:spacing w:after="57"/>
    </w:pPr>
  </w:style>
  <w:style w:type="paragraph" w:styleId="902">
    <w:name w:val="TOC Heading"/>
    <w:uiPriority w:val="39"/>
    <w:unhideWhenUsed/>
  </w:style>
  <w:style w:type="paragraph" w:styleId="903">
    <w:name w:val="table of figures"/>
    <w:basedOn w:val="726"/>
    <w:next w:val="726"/>
    <w:uiPriority w:val="99"/>
    <w:unhideWhenUsed/>
    <w:pPr>
      <w:spacing w:after="0"/>
    </w:pPr>
  </w:style>
  <w:style w:type="table" w:styleId="904">
    <w:name w:val="Table Grid"/>
    <w:basedOn w:val="72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5" w:customStyle="1">
    <w:name w:val="Header"/>
    <w:basedOn w:val="726"/>
    <w:link w:val="90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6" w:customStyle="1">
    <w:name w:val="Верхний колонтитул Знак"/>
    <w:basedOn w:val="727"/>
    <w:link w:val="905"/>
    <w:uiPriority w:val="99"/>
  </w:style>
  <w:style w:type="paragraph" w:styleId="907" w:customStyle="1">
    <w:name w:val="Footer"/>
    <w:basedOn w:val="726"/>
    <w:link w:val="90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8" w:customStyle="1">
    <w:name w:val="Нижний колонтитул Знак"/>
    <w:basedOn w:val="727"/>
    <w:link w:val="907"/>
    <w:uiPriority w:val="99"/>
  </w:style>
  <w:style w:type="paragraph" w:styleId="909" w:customStyle="1">
    <w:name w:val="Стиль"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910">
    <w:name w:val="List Paragraph"/>
    <w:basedOn w:val="726"/>
    <w:uiPriority w:val="34"/>
    <w:qFormat/>
    <w:pPr>
      <w:contextualSpacing/>
      <w:ind w:left="720"/>
    </w:pPr>
  </w:style>
  <w:style w:type="paragraph" w:styleId="911" w:customStyle="1">
    <w:name w:val="Iau?iue"/>
    <w:pPr>
      <w:spacing w:after="0" w:line="240" w:lineRule="auto"/>
    </w:pPr>
    <w:rPr>
      <w:rFonts w:ascii="Times New Roman" w:hAnsi="Times New Roman" w:eastAsia="Arial" w:cs="Times New Roman"/>
      <w:sz w:val="20"/>
      <w:szCs w:val="20"/>
      <w:lang w:val="en-US" w:eastAsia="ar-SA"/>
    </w:rPr>
  </w:style>
  <w:style w:type="paragraph" w:styleId="912">
    <w:name w:val="Normal (Web)"/>
    <w:basedOn w:val="726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3">
    <w:name w:val="Body Text"/>
    <w:basedOn w:val="726"/>
    <w:link w:val="914"/>
    <w:pPr>
      <w:spacing w:after="12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4" w:customStyle="1">
    <w:name w:val="Основной текст Знак"/>
    <w:basedOn w:val="727"/>
    <w:link w:val="913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5">
    <w:name w:val="Intense Emphasis"/>
    <w:basedOn w:val="727"/>
    <w:uiPriority w:val="21"/>
    <w:qFormat/>
    <w:rPr>
      <w:b/>
      <w:bCs/>
      <w:i/>
      <w:iCs/>
      <w:color w:val="4f81bd" w:themeColor="accent1"/>
    </w:rPr>
  </w:style>
  <w:style w:type="paragraph" w:styleId="916" w:customStyle="1">
    <w:name w:val="Con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917">
    <w:name w:val="Body Text Indent"/>
    <w:basedOn w:val="726"/>
    <w:link w:val="918"/>
    <w:uiPriority w:val="99"/>
    <w:semiHidden/>
    <w:unhideWhenUsed/>
    <w:pPr>
      <w:ind w:left="283"/>
      <w:spacing w:after="120"/>
    </w:pPr>
  </w:style>
  <w:style w:type="character" w:styleId="918" w:customStyle="1">
    <w:name w:val="Основной текст с отступом Знак"/>
    <w:basedOn w:val="727"/>
    <w:link w:val="917"/>
    <w:uiPriority w:val="99"/>
    <w:semiHidden/>
  </w:style>
  <w:style w:type="paragraph" w:styleId="919">
    <w:name w:val="Body Text Indent 2"/>
    <w:basedOn w:val="726"/>
    <w:link w:val="920"/>
    <w:uiPriority w:val="99"/>
    <w:semiHidden/>
    <w:unhideWhenUsed/>
    <w:pPr>
      <w:ind w:left="283"/>
      <w:spacing w:after="120" w:line="480" w:lineRule="auto"/>
    </w:pPr>
  </w:style>
  <w:style w:type="character" w:styleId="920" w:customStyle="1">
    <w:name w:val="Основной текст с отступом 2 Знак"/>
    <w:basedOn w:val="727"/>
    <w:link w:val="919"/>
    <w:uiPriority w:val="99"/>
    <w:semiHidden/>
  </w:style>
  <w:style w:type="paragraph" w:styleId="921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922">
    <w:name w:val="Strong"/>
    <w:basedOn w:val="727"/>
    <w:uiPriority w:val="22"/>
    <w:qFormat/>
    <w:rPr>
      <w:b/>
      <w:bCs/>
    </w:rPr>
  </w:style>
  <w:style w:type="character" w:styleId="923" w:customStyle="1">
    <w:name w:val="graytitle"/>
    <w:basedOn w:val="727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58131-B9AB-4ED7-A034-0EC10C2BB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revision>23</cp:revision>
  <dcterms:created xsi:type="dcterms:W3CDTF">2023-02-21T09:42:00Z</dcterms:created>
  <dcterms:modified xsi:type="dcterms:W3CDTF">2023-07-02T06:42:32Z</dcterms:modified>
</cp:coreProperties>
</file>